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5514E" w14:textId="21E3E2B7" w:rsidR="00CB2462" w:rsidRPr="00AA6C4E" w:rsidRDefault="00CB2462" w:rsidP="009F10F1">
      <w:pPr>
        <w:pStyle w:val="ListParagraph"/>
        <w:spacing w:after="160" w:line="360" w:lineRule="auto"/>
        <w:ind w:left="360"/>
        <w:jc w:val="center"/>
        <w:rPr>
          <w:b/>
          <w:color w:val="000000" w:themeColor="text1"/>
          <w:u w:val="single"/>
        </w:rPr>
      </w:pPr>
      <w:r w:rsidRPr="00AA6C4E">
        <w:rPr>
          <w:b/>
          <w:color w:val="000000" w:themeColor="text1"/>
          <w:u w:val="single"/>
        </w:rPr>
        <w:t>Air University</w:t>
      </w:r>
    </w:p>
    <w:p w14:paraId="5E6C6456" w14:textId="37537416" w:rsidR="00CB2462" w:rsidRPr="00AA6C4E" w:rsidRDefault="00CB2462" w:rsidP="009F10F1">
      <w:pPr>
        <w:pStyle w:val="ListParagraph"/>
        <w:spacing w:after="160" w:line="360" w:lineRule="auto"/>
        <w:ind w:left="360"/>
        <w:jc w:val="center"/>
        <w:rPr>
          <w:b/>
          <w:color w:val="000000" w:themeColor="text1"/>
          <w:u w:val="single"/>
        </w:rPr>
      </w:pPr>
      <w:r w:rsidRPr="00AA6C4E">
        <w:rPr>
          <w:b/>
          <w:color w:val="000000" w:themeColor="text1"/>
          <w:u w:val="single"/>
        </w:rPr>
        <w:t xml:space="preserve">Policy- </w:t>
      </w:r>
      <w:r w:rsidR="00AA6C4E">
        <w:rPr>
          <w:b/>
          <w:color w:val="000000" w:themeColor="text1"/>
          <w:u w:val="single"/>
        </w:rPr>
        <w:t xml:space="preserve">Transgender </w:t>
      </w:r>
      <w:r w:rsidRPr="00AA6C4E">
        <w:rPr>
          <w:b/>
          <w:color w:val="000000" w:themeColor="text1"/>
          <w:u w:val="single"/>
        </w:rPr>
        <w:t xml:space="preserve">Equivalent </w:t>
      </w:r>
      <w:r w:rsidR="00145B71" w:rsidRPr="00AA6C4E">
        <w:rPr>
          <w:b/>
          <w:color w:val="000000" w:themeColor="text1"/>
          <w:u w:val="single"/>
        </w:rPr>
        <w:t>R</w:t>
      </w:r>
      <w:r w:rsidRPr="00AA6C4E">
        <w:rPr>
          <w:b/>
          <w:color w:val="000000" w:themeColor="text1"/>
          <w:u w:val="single"/>
        </w:rPr>
        <w:t>ights</w:t>
      </w:r>
      <w:r w:rsidR="00AA6C4E">
        <w:rPr>
          <w:b/>
          <w:color w:val="000000" w:themeColor="text1"/>
          <w:u w:val="single"/>
        </w:rPr>
        <w:t xml:space="preserve"> as per Government Rules</w:t>
      </w:r>
    </w:p>
    <w:p w14:paraId="6C09D7D3" w14:textId="77777777" w:rsidR="000F09EA" w:rsidRPr="00AA6C4E" w:rsidRDefault="000F09EA" w:rsidP="009F10F1">
      <w:pPr>
        <w:pStyle w:val="ListParagraph"/>
        <w:spacing w:after="160" w:line="360" w:lineRule="auto"/>
        <w:ind w:left="360"/>
        <w:rPr>
          <w:b/>
          <w:color w:val="000000" w:themeColor="text1"/>
          <w:u w:val="single"/>
        </w:rPr>
      </w:pPr>
    </w:p>
    <w:p w14:paraId="457908CA" w14:textId="04D1D8F4" w:rsidR="00145B71" w:rsidRPr="002077E3" w:rsidRDefault="000F09EA" w:rsidP="002077E3">
      <w:pPr>
        <w:spacing w:line="360" w:lineRule="auto"/>
        <w:rPr>
          <w:b/>
          <w:color w:val="000000" w:themeColor="text1"/>
          <w:u w:val="single"/>
        </w:rPr>
      </w:pPr>
      <w:r w:rsidRPr="002077E3">
        <w:rPr>
          <w:b/>
          <w:color w:val="000000" w:themeColor="text1"/>
          <w:u w:val="single"/>
        </w:rPr>
        <w:t>General</w:t>
      </w:r>
    </w:p>
    <w:p w14:paraId="2EDDDA40" w14:textId="5ADE47B8" w:rsidR="00AA6C4E" w:rsidRDefault="00FA1042" w:rsidP="00EA0902">
      <w:pPr>
        <w:shd w:val="clear" w:color="auto" w:fill="FFFFFF"/>
        <w:spacing w:after="0" w:line="240" w:lineRule="auto"/>
        <w:jc w:val="both"/>
        <w:textAlignment w:val="baseline"/>
        <w:rPr>
          <w:rFonts w:ascii="Helvetica" w:eastAsia="Times New Roman" w:hAnsi="Helvetica" w:cs="Helvetica"/>
          <w:color w:val="000000" w:themeColor="text1"/>
          <w:sz w:val="26"/>
          <w:szCs w:val="26"/>
        </w:rPr>
      </w:pPr>
      <w:r>
        <w:rPr>
          <w:rFonts w:ascii="Helvetica" w:eastAsia="Times New Roman" w:hAnsi="Helvetica" w:cs="Helvetica"/>
          <w:color w:val="000000" w:themeColor="text1"/>
          <w:sz w:val="26"/>
          <w:szCs w:val="26"/>
        </w:rPr>
        <w:t>1.</w:t>
      </w:r>
      <w:r>
        <w:rPr>
          <w:rFonts w:ascii="Helvetica" w:eastAsia="Times New Roman" w:hAnsi="Helvetica" w:cs="Helvetica"/>
          <w:color w:val="000000" w:themeColor="text1"/>
          <w:sz w:val="26"/>
          <w:szCs w:val="26"/>
        </w:rPr>
        <w:tab/>
      </w:r>
      <w:r w:rsidR="00AA6C4E" w:rsidRPr="00AA6C4E">
        <w:rPr>
          <w:rFonts w:ascii="Helvetica" w:eastAsia="Times New Roman" w:hAnsi="Helvetica" w:cs="Helvetica"/>
          <w:color w:val="000000" w:themeColor="text1"/>
          <w:sz w:val="26"/>
          <w:szCs w:val="26"/>
        </w:rPr>
        <w:t xml:space="preserve">On 08 May 2018, the National Assembly reportedly approved the ”Transgender Persons (Protection of Rights) Act, 2018” for the protection of transgender persons’ rights </w:t>
      </w:r>
      <w:r w:rsidR="00AA6C4E" w:rsidRPr="00AA6C4E">
        <w:rPr>
          <w:rFonts w:ascii="Helvetica" w:eastAsia="Times New Roman" w:hAnsi="Helvetica" w:cs="Helvetica"/>
          <w:color w:val="000000" w:themeColor="text1"/>
          <w:sz w:val="26"/>
          <w:szCs w:val="26"/>
        </w:rPr>
        <w:softHyphen/>
        <w:t xml:space="preserve"> the final stage before it is signed into a law. Provisions under the bill </w:t>
      </w:r>
      <w:r w:rsidR="002077E3">
        <w:rPr>
          <w:rFonts w:ascii="Helvetica" w:eastAsia="Times New Roman" w:hAnsi="Helvetica" w:cs="Helvetica"/>
          <w:color w:val="000000" w:themeColor="text1"/>
          <w:sz w:val="26"/>
          <w:szCs w:val="26"/>
        </w:rPr>
        <w:t>has following contours.</w:t>
      </w:r>
    </w:p>
    <w:p w14:paraId="6274CBFC" w14:textId="77777777" w:rsidR="002077E3" w:rsidRDefault="002077E3" w:rsidP="00EA0902">
      <w:pPr>
        <w:shd w:val="clear" w:color="auto" w:fill="FFFFFF"/>
        <w:spacing w:after="0" w:line="240" w:lineRule="auto"/>
        <w:jc w:val="both"/>
        <w:textAlignment w:val="baseline"/>
        <w:rPr>
          <w:rFonts w:ascii="Helvetica" w:eastAsia="Times New Roman" w:hAnsi="Helvetica" w:cs="Helvetica"/>
          <w:color w:val="000000" w:themeColor="text1"/>
          <w:sz w:val="26"/>
          <w:szCs w:val="26"/>
        </w:rPr>
      </w:pPr>
    </w:p>
    <w:p w14:paraId="168F0A1D" w14:textId="2A43DF41" w:rsidR="002077E3" w:rsidRPr="002077E3" w:rsidRDefault="002077E3" w:rsidP="002077E3">
      <w:pPr>
        <w:rPr>
          <w:b/>
          <w:u w:val="single"/>
        </w:rPr>
      </w:pPr>
      <w:r w:rsidRPr="002077E3">
        <w:rPr>
          <w:b/>
          <w:u w:val="single"/>
        </w:rPr>
        <w:t>Main Contours</w:t>
      </w:r>
    </w:p>
    <w:p w14:paraId="100A8353" w14:textId="1E4906CA"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Transgender persons being able to register to obtain a driver’s license and passport;</w:t>
      </w:r>
    </w:p>
    <w:p w14:paraId="7E5CB1DC" w14:textId="77777777"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Transgender persons having the option to get their gender changed in National Database and Registration Authority (NADRA) records in line with their self-perceived identity;</w:t>
      </w:r>
    </w:p>
    <w:p w14:paraId="4520334B" w14:textId="77777777"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Prohibition of harassment of transgender persons at home and in public places;</w:t>
      </w:r>
    </w:p>
    <w:p w14:paraId="7F5C8D26" w14:textId="77777777"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Transgender persons not being discriminated against by educational institutions and employers, in trade and health services, when using public transport, and when buying, selling or renting property;</w:t>
      </w:r>
    </w:p>
    <w:p w14:paraId="1C9FE0E5" w14:textId="77777777"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Establishment, by the government, of safe houses for transgender persons and provision of medical and educational facilities and psychological counselling to them;</w:t>
      </w:r>
    </w:p>
    <w:p w14:paraId="3C836EDC" w14:textId="73B2CD21"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Establishment of separate rooms at jails where trans genders persons may be detained;</w:t>
      </w:r>
    </w:p>
    <w:p w14:paraId="1940B435" w14:textId="77777777"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Entitlement to inherit property.</w:t>
      </w:r>
    </w:p>
    <w:p w14:paraId="624E1744" w14:textId="308551DD"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Steps, to be taken by the government, to ensure employment opportunities for transgender persons.</w:t>
      </w:r>
    </w:p>
    <w:p w14:paraId="68DF6684" w14:textId="77777777"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Rights awarded to transgender persons to vote in all national, provincial, and local government elections and making sure they are not discriminated against in their pursuit of a public office.</w:t>
      </w:r>
    </w:p>
    <w:p w14:paraId="5D6CB57C" w14:textId="0D554F2E" w:rsidR="00AA6C4E" w:rsidRPr="00AA6C4E" w:rsidRDefault="00AA6C4E" w:rsidP="00FA1042">
      <w:pPr>
        <w:numPr>
          <w:ilvl w:val="0"/>
          <w:numId w:val="25"/>
        </w:numPr>
        <w:spacing w:after="0" w:line="390" w:lineRule="atLeast"/>
        <w:jc w:val="both"/>
        <w:textAlignment w:val="baseline"/>
        <w:rPr>
          <w:rFonts w:ascii="Helvetica" w:eastAsia="Times New Roman" w:hAnsi="Helvetica" w:cs="Helvetica"/>
          <w:color w:val="000000" w:themeColor="text1"/>
          <w:sz w:val="26"/>
          <w:szCs w:val="26"/>
        </w:rPr>
      </w:pPr>
      <w:r w:rsidRPr="00AA6C4E">
        <w:rPr>
          <w:rFonts w:ascii="Helvetica" w:eastAsia="Times New Roman" w:hAnsi="Helvetica" w:cs="Helvetica"/>
          <w:color w:val="000000" w:themeColor="text1"/>
          <w:sz w:val="26"/>
          <w:szCs w:val="26"/>
        </w:rPr>
        <w:t>Setting up punishments: anyone found guilty of forcing a transgender person to beg will be sentenced to six months in prison and served a fine of Rs 50,000.</w:t>
      </w:r>
    </w:p>
    <w:p w14:paraId="017CCB68" w14:textId="77777777" w:rsidR="000F09EA" w:rsidRPr="00AA6C4E" w:rsidRDefault="000F09EA" w:rsidP="00EA0902">
      <w:pPr>
        <w:pStyle w:val="ListParagraph"/>
        <w:spacing w:after="160" w:line="360" w:lineRule="auto"/>
        <w:ind w:left="360"/>
        <w:jc w:val="both"/>
        <w:rPr>
          <w:b/>
          <w:color w:val="000000" w:themeColor="text1"/>
          <w:u w:val="single"/>
        </w:rPr>
      </w:pPr>
    </w:p>
    <w:p w14:paraId="1C747D1B" w14:textId="77777777" w:rsidR="00FA1042" w:rsidRDefault="00FA1042" w:rsidP="009F10F1">
      <w:pPr>
        <w:pStyle w:val="ListParagraph"/>
        <w:spacing w:after="160" w:line="360" w:lineRule="auto"/>
        <w:ind w:left="360"/>
        <w:jc w:val="both"/>
        <w:rPr>
          <w:color w:val="000000" w:themeColor="text1"/>
        </w:rPr>
      </w:pPr>
    </w:p>
    <w:p w14:paraId="47864DAC" w14:textId="285C0AF3" w:rsidR="00FA1042" w:rsidRDefault="00FA1042" w:rsidP="009F10F1">
      <w:pPr>
        <w:pStyle w:val="ListParagraph"/>
        <w:spacing w:after="160" w:line="360" w:lineRule="auto"/>
        <w:ind w:left="360"/>
        <w:jc w:val="both"/>
        <w:rPr>
          <w:b/>
          <w:color w:val="000000" w:themeColor="text1"/>
          <w:u w:val="single"/>
        </w:rPr>
      </w:pPr>
      <w:r>
        <w:rPr>
          <w:b/>
          <w:color w:val="000000" w:themeColor="text1"/>
          <w:u w:val="single"/>
        </w:rPr>
        <w:t>Scope</w:t>
      </w:r>
    </w:p>
    <w:p w14:paraId="6E1CC73E" w14:textId="50BD9020" w:rsidR="00FA1042" w:rsidRPr="00FA1042" w:rsidRDefault="00FA1042" w:rsidP="009F10F1">
      <w:pPr>
        <w:pStyle w:val="ListParagraph"/>
        <w:spacing w:after="160" w:line="360" w:lineRule="auto"/>
        <w:ind w:left="360"/>
        <w:jc w:val="both"/>
        <w:rPr>
          <w:color w:val="000000" w:themeColor="text1"/>
        </w:rPr>
      </w:pPr>
      <w:r>
        <w:rPr>
          <w:color w:val="000000" w:themeColor="text1"/>
        </w:rPr>
        <w:t>2.</w:t>
      </w:r>
      <w:r>
        <w:rPr>
          <w:color w:val="000000" w:themeColor="text1"/>
        </w:rPr>
        <w:tab/>
        <w:t>To develop procedures in enrolment, hiring and handling of transgender students, faculty and staff in the light of Government approved bill for Transgender with a view to provide maximum protection and quality education at Institute level.</w:t>
      </w:r>
    </w:p>
    <w:p w14:paraId="5BAC65AC" w14:textId="3678CD41" w:rsidR="00FA1042" w:rsidRPr="00FA1042" w:rsidRDefault="00FA1042" w:rsidP="009F10F1">
      <w:pPr>
        <w:pStyle w:val="ListParagraph"/>
        <w:spacing w:after="160" w:line="360" w:lineRule="auto"/>
        <w:ind w:left="360"/>
        <w:jc w:val="both"/>
        <w:rPr>
          <w:b/>
          <w:color w:val="000000" w:themeColor="text1"/>
          <w:u w:val="single"/>
        </w:rPr>
      </w:pPr>
      <w:r w:rsidRPr="00FA1042">
        <w:rPr>
          <w:b/>
          <w:color w:val="000000" w:themeColor="text1"/>
          <w:u w:val="single"/>
        </w:rPr>
        <w:t xml:space="preserve">Procedures being </w:t>
      </w:r>
      <w:r w:rsidR="00D7569B">
        <w:rPr>
          <w:b/>
          <w:color w:val="000000" w:themeColor="text1"/>
          <w:u w:val="single"/>
        </w:rPr>
        <w:t>A</w:t>
      </w:r>
      <w:r w:rsidR="00D7569B" w:rsidRPr="00FA1042">
        <w:rPr>
          <w:b/>
          <w:color w:val="000000" w:themeColor="text1"/>
          <w:u w:val="single"/>
        </w:rPr>
        <w:t>dopted</w:t>
      </w:r>
      <w:r w:rsidRPr="00FA1042">
        <w:rPr>
          <w:b/>
          <w:color w:val="000000" w:themeColor="text1"/>
          <w:u w:val="single"/>
        </w:rPr>
        <w:t xml:space="preserve"> by Air University</w:t>
      </w:r>
    </w:p>
    <w:p w14:paraId="42D7C777" w14:textId="3E3E60FD" w:rsidR="001C775C" w:rsidRPr="00AA6C4E" w:rsidRDefault="00EE3B51" w:rsidP="009F10F1">
      <w:pPr>
        <w:pStyle w:val="ListParagraph"/>
        <w:spacing w:after="160" w:line="360" w:lineRule="auto"/>
        <w:ind w:left="360"/>
        <w:jc w:val="both"/>
        <w:rPr>
          <w:color w:val="000000" w:themeColor="text1"/>
        </w:rPr>
      </w:pPr>
      <w:r>
        <w:rPr>
          <w:color w:val="000000" w:themeColor="text1"/>
        </w:rPr>
        <w:t>3</w:t>
      </w:r>
      <w:r w:rsidR="00145B71" w:rsidRPr="00AA6C4E">
        <w:rPr>
          <w:color w:val="000000" w:themeColor="text1"/>
        </w:rPr>
        <w:t>.</w:t>
      </w:r>
      <w:r w:rsidR="00145B71" w:rsidRPr="00AA6C4E">
        <w:rPr>
          <w:color w:val="000000" w:themeColor="text1"/>
        </w:rPr>
        <w:tab/>
        <w:t xml:space="preserve">Air University </w:t>
      </w:r>
      <w:r w:rsidR="003B0406">
        <w:rPr>
          <w:color w:val="000000" w:themeColor="text1"/>
        </w:rPr>
        <w:t>is in the process of modifying various procedures, documents and authorized forms to provide favorable opportunity to the expected transgender students and employees. This practice will being Air University in the correct alignment of global practices at all renowned institutes and Universities of the world. Following is being amended before enforcement of the Transgender Act by the Government.</w:t>
      </w:r>
      <w:r w:rsidR="00145B71" w:rsidRPr="00AA6C4E">
        <w:rPr>
          <w:color w:val="000000" w:themeColor="text1"/>
        </w:rPr>
        <w:t xml:space="preserve"> </w:t>
      </w:r>
    </w:p>
    <w:p w14:paraId="1025CDDD" w14:textId="10E003FE" w:rsidR="00145B71" w:rsidRPr="00AA6C4E" w:rsidRDefault="00145B71" w:rsidP="009F10F1">
      <w:pPr>
        <w:pStyle w:val="ListParagraph"/>
        <w:spacing w:after="160" w:line="360" w:lineRule="auto"/>
        <w:ind w:left="1440" w:hanging="720"/>
        <w:jc w:val="both"/>
        <w:rPr>
          <w:color w:val="000000" w:themeColor="text1"/>
        </w:rPr>
      </w:pPr>
      <w:r w:rsidRPr="00AA6C4E">
        <w:rPr>
          <w:color w:val="000000" w:themeColor="text1"/>
        </w:rPr>
        <w:t>a.</w:t>
      </w:r>
      <w:r w:rsidRPr="00AA6C4E">
        <w:rPr>
          <w:color w:val="000000" w:themeColor="text1"/>
        </w:rPr>
        <w:tab/>
        <w:t xml:space="preserve">All </w:t>
      </w:r>
      <w:r w:rsidR="003B0406">
        <w:rPr>
          <w:color w:val="000000" w:themeColor="text1"/>
        </w:rPr>
        <w:t>admission &amp; enrolment forms.</w:t>
      </w:r>
    </w:p>
    <w:p w14:paraId="43B6A073" w14:textId="1F1674C1" w:rsidR="00145B71" w:rsidRPr="00AA6C4E" w:rsidRDefault="00145B71" w:rsidP="009F10F1">
      <w:pPr>
        <w:pStyle w:val="ListParagraph"/>
        <w:spacing w:after="160" w:line="360" w:lineRule="auto"/>
        <w:ind w:left="1440" w:hanging="720"/>
        <w:jc w:val="both"/>
        <w:rPr>
          <w:color w:val="000000" w:themeColor="text1"/>
        </w:rPr>
      </w:pPr>
      <w:r w:rsidRPr="00AA6C4E">
        <w:rPr>
          <w:color w:val="000000" w:themeColor="text1"/>
        </w:rPr>
        <w:t>b.</w:t>
      </w:r>
      <w:r w:rsidRPr="00AA6C4E">
        <w:rPr>
          <w:color w:val="000000" w:themeColor="text1"/>
        </w:rPr>
        <w:tab/>
      </w:r>
      <w:r w:rsidR="003B0406">
        <w:rPr>
          <w:color w:val="000000" w:themeColor="text1"/>
        </w:rPr>
        <w:t>All job application formats with inclusion of transgender column.</w:t>
      </w:r>
    </w:p>
    <w:p w14:paraId="413750B4" w14:textId="00D8AC10" w:rsidR="00145B71" w:rsidRPr="00AA6C4E" w:rsidRDefault="00145B71" w:rsidP="009F10F1">
      <w:pPr>
        <w:pStyle w:val="ListParagraph"/>
        <w:spacing w:after="160" w:line="360" w:lineRule="auto"/>
        <w:ind w:left="1440" w:hanging="720"/>
        <w:jc w:val="both"/>
        <w:rPr>
          <w:color w:val="000000" w:themeColor="text1"/>
        </w:rPr>
      </w:pPr>
      <w:r w:rsidRPr="00AA6C4E">
        <w:rPr>
          <w:color w:val="000000" w:themeColor="text1"/>
        </w:rPr>
        <w:t>c.</w:t>
      </w:r>
      <w:r w:rsidRPr="00AA6C4E">
        <w:rPr>
          <w:color w:val="000000" w:themeColor="text1"/>
        </w:rPr>
        <w:tab/>
      </w:r>
      <w:r w:rsidR="003B0406">
        <w:rPr>
          <w:color w:val="000000" w:themeColor="text1"/>
        </w:rPr>
        <w:t>Promotion policy and documents in coordination with HEC.</w:t>
      </w:r>
    </w:p>
    <w:p w14:paraId="170A48CA" w14:textId="26420BE6" w:rsidR="00145B71" w:rsidRPr="00AA6C4E" w:rsidRDefault="00145B71" w:rsidP="009F10F1">
      <w:pPr>
        <w:pStyle w:val="ListParagraph"/>
        <w:spacing w:after="160" w:line="360" w:lineRule="auto"/>
        <w:ind w:left="1440" w:hanging="720"/>
        <w:jc w:val="both"/>
        <w:rPr>
          <w:color w:val="000000" w:themeColor="text1"/>
        </w:rPr>
      </w:pPr>
      <w:r w:rsidRPr="00AA6C4E">
        <w:rPr>
          <w:color w:val="000000" w:themeColor="text1"/>
        </w:rPr>
        <w:t>d.</w:t>
      </w:r>
      <w:r w:rsidRPr="00AA6C4E">
        <w:rPr>
          <w:color w:val="000000" w:themeColor="text1"/>
        </w:rPr>
        <w:tab/>
      </w:r>
      <w:r w:rsidR="003274BA">
        <w:rPr>
          <w:color w:val="000000" w:themeColor="text1"/>
        </w:rPr>
        <w:t>Alumni survey forms.</w:t>
      </w:r>
    </w:p>
    <w:p w14:paraId="16455456" w14:textId="5A2EF493" w:rsidR="00145B71" w:rsidRPr="00AA6C4E" w:rsidRDefault="00145B71" w:rsidP="009F10F1">
      <w:pPr>
        <w:pStyle w:val="ListParagraph"/>
        <w:spacing w:after="160" w:line="360" w:lineRule="auto"/>
        <w:ind w:left="1440" w:hanging="720"/>
        <w:jc w:val="both"/>
        <w:rPr>
          <w:color w:val="000000" w:themeColor="text1"/>
        </w:rPr>
      </w:pPr>
      <w:r w:rsidRPr="00AA6C4E">
        <w:rPr>
          <w:color w:val="000000" w:themeColor="text1"/>
        </w:rPr>
        <w:t>e.</w:t>
      </w:r>
      <w:r w:rsidRPr="00AA6C4E">
        <w:rPr>
          <w:color w:val="000000" w:themeColor="text1"/>
        </w:rPr>
        <w:tab/>
      </w:r>
      <w:r w:rsidR="003274BA">
        <w:rPr>
          <w:color w:val="000000" w:themeColor="text1"/>
        </w:rPr>
        <w:t>Construction of d</w:t>
      </w:r>
      <w:r w:rsidRPr="00AA6C4E">
        <w:rPr>
          <w:color w:val="000000" w:themeColor="text1"/>
        </w:rPr>
        <w:t>edicated</w:t>
      </w:r>
      <w:r w:rsidR="003274BA">
        <w:rPr>
          <w:color w:val="000000" w:themeColor="text1"/>
        </w:rPr>
        <w:t xml:space="preserve"> wash rooms (under consideration).</w:t>
      </w:r>
    </w:p>
    <w:p w14:paraId="78074E4C" w14:textId="34412ACA" w:rsidR="00145B71" w:rsidRPr="00AA6C4E" w:rsidRDefault="00145B71" w:rsidP="009F10F1">
      <w:pPr>
        <w:pStyle w:val="ListParagraph"/>
        <w:spacing w:after="160" w:line="360" w:lineRule="auto"/>
        <w:ind w:left="1440" w:hanging="720"/>
        <w:jc w:val="both"/>
        <w:rPr>
          <w:color w:val="000000" w:themeColor="text1"/>
        </w:rPr>
      </w:pPr>
      <w:r w:rsidRPr="00AA6C4E">
        <w:rPr>
          <w:color w:val="000000" w:themeColor="text1"/>
        </w:rPr>
        <w:t>f.</w:t>
      </w:r>
      <w:r w:rsidRPr="00AA6C4E">
        <w:rPr>
          <w:color w:val="000000" w:themeColor="text1"/>
        </w:rPr>
        <w:tab/>
      </w:r>
      <w:r w:rsidR="003274BA">
        <w:rPr>
          <w:color w:val="000000" w:themeColor="text1"/>
        </w:rPr>
        <w:t>Designated rooms in the hostels.</w:t>
      </w:r>
    </w:p>
    <w:p w14:paraId="055FC204" w14:textId="46F00488" w:rsidR="00145B71" w:rsidRPr="00AA6C4E" w:rsidRDefault="00145B71" w:rsidP="003274BA">
      <w:pPr>
        <w:pStyle w:val="ListParagraph"/>
        <w:spacing w:after="160" w:line="360" w:lineRule="auto"/>
        <w:ind w:left="1440" w:hanging="720"/>
        <w:jc w:val="both"/>
        <w:rPr>
          <w:color w:val="000000" w:themeColor="text1"/>
        </w:rPr>
      </w:pPr>
      <w:r w:rsidRPr="00AA6C4E">
        <w:rPr>
          <w:color w:val="000000" w:themeColor="text1"/>
        </w:rPr>
        <w:t>g.</w:t>
      </w:r>
      <w:r w:rsidRPr="00AA6C4E">
        <w:rPr>
          <w:color w:val="000000" w:themeColor="text1"/>
        </w:rPr>
        <w:tab/>
      </w:r>
      <w:r w:rsidR="003274BA">
        <w:rPr>
          <w:color w:val="000000" w:themeColor="text1"/>
        </w:rPr>
        <w:t>Exclusive seats and job slots (under consideration).</w:t>
      </w:r>
    </w:p>
    <w:p w14:paraId="50816E63" w14:textId="78D53D01" w:rsidR="000F09EA" w:rsidRPr="00AA6C4E" w:rsidRDefault="000F09EA" w:rsidP="009F10F1">
      <w:pPr>
        <w:spacing w:line="360" w:lineRule="auto"/>
        <w:rPr>
          <w:b/>
          <w:color w:val="000000" w:themeColor="text1"/>
          <w:u w:val="single"/>
        </w:rPr>
      </w:pPr>
      <w:r w:rsidRPr="00AA6C4E">
        <w:rPr>
          <w:b/>
          <w:color w:val="000000" w:themeColor="text1"/>
          <w:u w:val="single"/>
        </w:rPr>
        <w:t>Guidelines</w:t>
      </w:r>
    </w:p>
    <w:p w14:paraId="776D93A4" w14:textId="5F2A0C2A" w:rsidR="000F09EA" w:rsidRPr="00AA6C4E" w:rsidRDefault="003274BA" w:rsidP="009F10F1">
      <w:pPr>
        <w:spacing w:line="360" w:lineRule="auto"/>
        <w:jc w:val="both"/>
        <w:rPr>
          <w:color w:val="000000" w:themeColor="text1"/>
        </w:rPr>
      </w:pPr>
      <w:r>
        <w:rPr>
          <w:color w:val="000000" w:themeColor="text1"/>
        </w:rPr>
        <w:t>4</w:t>
      </w:r>
      <w:r w:rsidR="000F09EA" w:rsidRPr="00AA6C4E">
        <w:rPr>
          <w:color w:val="000000" w:themeColor="text1"/>
        </w:rPr>
        <w:t>.</w:t>
      </w:r>
      <w:r w:rsidR="000F09EA" w:rsidRPr="00AA6C4E">
        <w:rPr>
          <w:color w:val="000000" w:themeColor="text1"/>
        </w:rPr>
        <w:tab/>
        <w:t xml:space="preserve">The concept of equivalent rights will be well understood well before the arrival of human resource and policy parameters will be well addressed while handling </w:t>
      </w:r>
      <w:r>
        <w:rPr>
          <w:color w:val="000000" w:themeColor="text1"/>
        </w:rPr>
        <w:t xml:space="preserve">of Trans genders. </w:t>
      </w:r>
    </w:p>
    <w:p w14:paraId="1CD961BC" w14:textId="49C63C1F" w:rsidR="00654FD4" w:rsidRPr="00AA6C4E" w:rsidRDefault="003274BA" w:rsidP="009F10F1">
      <w:pPr>
        <w:spacing w:line="360" w:lineRule="auto"/>
        <w:rPr>
          <w:color w:val="000000" w:themeColor="text1"/>
        </w:rPr>
      </w:pPr>
      <w:r>
        <w:rPr>
          <w:color w:val="000000" w:themeColor="text1"/>
        </w:rPr>
        <w:t>5</w:t>
      </w:r>
      <w:r w:rsidR="000F09EA" w:rsidRPr="00AA6C4E">
        <w:rPr>
          <w:color w:val="000000" w:themeColor="text1"/>
        </w:rPr>
        <w:t>.</w:t>
      </w:r>
      <w:r w:rsidR="000F09EA" w:rsidRPr="00AA6C4E">
        <w:rPr>
          <w:color w:val="000000" w:themeColor="text1"/>
        </w:rPr>
        <w:tab/>
        <w:t xml:space="preserve">Gender equality along with racial </w:t>
      </w:r>
      <w:r w:rsidR="009F10F1" w:rsidRPr="00AA6C4E">
        <w:rPr>
          <w:color w:val="000000" w:themeColor="text1"/>
        </w:rPr>
        <w:t xml:space="preserve">equality, minorities and other religious and ethnic groups </w:t>
      </w:r>
      <w:r w:rsidR="000F09EA" w:rsidRPr="00AA6C4E">
        <w:rPr>
          <w:color w:val="000000" w:themeColor="text1"/>
        </w:rPr>
        <w:t xml:space="preserve">must be </w:t>
      </w:r>
      <w:r w:rsidR="009F10F1" w:rsidRPr="00AA6C4E">
        <w:rPr>
          <w:color w:val="000000" w:themeColor="text1"/>
        </w:rPr>
        <w:t xml:space="preserve">treated under same policy. </w:t>
      </w:r>
      <w:r w:rsidR="000F09EA" w:rsidRPr="00AA6C4E">
        <w:rPr>
          <w:color w:val="000000" w:themeColor="text1"/>
        </w:rPr>
        <w:t>Any complaints</w:t>
      </w:r>
      <w:r w:rsidR="009F10F1" w:rsidRPr="00AA6C4E">
        <w:rPr>
          <w:color w:val="000000" w:themeColor="text1"/>
        </w:rPr>
        <w:t xml:space="preserve"> related to equal rights </w:t>
      </w:r>
      <w:r w:rsidR="000F09EA" w:rsidRPr="00AA6C4E">
        <w:rPr>
          <w:color w:val="000000" w:themeColor="text1"/>
        </w:rPr>
        <w:t>must be taken very seriously and positively</w:t>
      </w:r>
      <w:r w:rsidR="009F10F1" w:rsidRPr="00AA6C4E">
        <w:rPr>
          <w:color w:val="000000" w:themeColor="text1"/>
        </w:rPr>
        <w:t xml:space="preserve"> for amicable solutions</w:t>
      </w:r>
      <w:r w:rsidR="000F09EA" w:rsidRPr="00AA6C4E">
        <w:rPr>
          <w:color w:val="000000" w:themeColor="text1"/>
        </w:rPr>
        <w:t xml:space="preserve">. </w:t>
      </w:r>
    </w:p>
    <w:p w14:paraId="3FB09559" w14:textId="77777777" w:rsidR="009F10F1" w:rsidRPr="00AA6C4E" w:rsidRDefault="009F10F1" w:rsidP="009F10F1">
      <w:pPr>
        <w:spacing w:line="360" w:lineRule="auto"/>
        <w:rPr>
          <w:color w:val="000000" w:themeColor="text1"/>
        </w:rPr>
      </w:pPr>
    </w:p>
    <w:p w14:paraId="634F95D0" w14:textId="087DE869" w:rsidR="000F09EA" w:rsidRPr="00AA6C4E" w:rsidRDefault="00654FD4" w:rsidP="009F10F1">
      <w:pPr>
        <w:spacing w:line="360" w:lineRule="auto"/>
        <w:rPr>
          <w:b/>
          <w:color w:val="000000" w:themeColor="text1"/>
          <w:u w:val="single"/>
        </w:rPr>
      </w:pPr>
      <w:r w:rsidRPr="00AA6C4E">
        <w:rPr>
          <w:b/>
          <w:color w:val="000000" w:themeColor="text1"/>
          <w:u w:val="single"/>
        </w:rPr>
        <w:t>Conclusion</w:t>
      </w:r>
      <w:r w:rsidR="000F09EA" w:rsidRPr="00AA6C4E">
        <w:rPr>
          <w:b/>
          <w:color w:val="000000" w:themeColor="text1"/>
          <w:u w:val="single"/>
        </w:rPr>
        <w:t xml:space="preserve"> </w:t>
      </w:r>
    </w:p>
    <w:p w14:paraId="6149CB1A" w14:textId="5D81E5EF" w:rsidR="00654FD4" w:rsidRPr="00AA6C4E" w:rsidRDefault="001C775C" w:rsidP="003274BA">
      <w:pPr>
        <w:spacing w:line="360" w:lineRule="auto"/>
        <w:jc w:val="both"/>
        <w:rPr>
          <w:color w:val="000000" w:themeColor="text1"/>
        </w:rPr>
      </w:pPr>
      <w:r w:rsidRPr="00AA6C4E">
        <w:rPr>
          <w:color w:val="000000" w:themeColor="text1"/>
        </w:rPr>
        <w:lastRenderedPageBreak/>
        <w:t>5</w:t>
      </w:r>
      <w:r w:rsidR="00654FD4" w:rsidRPr="00AA6C4E">
        <w:rPr>
          <w:color w:val="000000" w:themeColor="text1"/>
        </w:rPr>
        <w:t>.</w:t>
      </w:r>
      <w:r w:rsidR="00654FD4" w:rsidRPr="00AA6C4E">
        <w:rPr>
          <w:color w:val="000000" w:themeColor="text1"/>
        </w:rPr>
        <w:tab/>
        <w:t xml:space="preserve">Equal rights </w:t>
      </w:r>
      <w:r w:rsidR="003274BA">
        <w:rPr>
          <w:color w:val="000000" w:themeColor="text1"/>
        </w:rPr>
        <w:t xml:space="preserve">to the transgender has emerged and immediate </w:t>
      </w:r>
      <w:r w:rsidR="00654FD4" w:rsidRPr="00AA6C4E">
        <w:rPr>
          <w:color w:val="000000" w:themeColor="text1"/>
        </w:rPr>
        <w:t>requirement</w:t>
      </w:r>
      <w:r w:rsidR="003274BA">
        <w:rPr>
          <w:color w:val="000000" w:themeColor="text1"/>
        </w:rPr>
        <w:t xml:space="preserve"> of the society which has been addressed and </w:t>
      </w:r>
      <w:r w:rsidR="002077E3">
        <w:rPr>
          <w:color w:val="000000" w:themeColor="text1"/>
        </w:rPr>
        <w:t>crystalized</w:t>
      </w:r>
      <w:r w:rsidR="003274BA">
        <w:rPr>
          <w:color w:val="000000" w:themeColor="text1"/>
        </w:rPr>
        <w:t xml:space="preserve"> at the National level. However, all education institutes are adequately responsible for implementation of this Act to provide favorable plat form to the transgender to acquire quality and professional education with a view to lead their lives as a respectable citizen of the country.</w:t>
      </w:r>
      <w:r w:rsidR="00654FD4" w:rsidRPr="00AA6C4E">
        <w:rPr>
          <w:color w:val="000000" w:themeColor="text1"/>
        </w:rPr>
        <w:t xml:space="preserve"> </w:t>
      </w:r>
      <w:r w:rsidR="009F10F1" w:rsidRPr="00AA6C4E">
        <w:rPr>
          <w:color w:val="000000" w:themeColor="text1"/>
        </w:rPr>
        <w:t>Concerted and persistent efforts are required to address these social issues which have already taken a start and expected to improve in the decades to come.</w:t>
      </w:r>
    </w:p>
    <w:p w14:paraId="779792FF" w14:textId="77777777" w:rsidR="00BC1C0C" w:rsidRPr="00AA6C4E" w:rsidRDefault="00BC1C0C" w:rsidP="009F10F1">
      <w:pPr>
        <w:spacing w:after="0" w:line="360" w:lineRule="auto"/>
        <w:ind w:left="5040" w:firstLine="720"/>
        <w:rPr>
          <w:b/>
          <w:color w:val="000000" w:themeColor="text1"/>
        </w:rPr>
      </w:pPr>
    </w:p>
    <w:p w14:paraId="2EB6B17C" w14:textId="77777777" w:rsidR="003274BA" w:rsidRDefault="003274BA" w:rsidP="009F10F1">
      <w:pPr>
        <w:spacing w:after="0" w:line="360" w:lineRule="auto"/>
        <w:ind w:left="5040" w:firstLine="720"/>
        <w:rPr>
          <w:b/>
          <w:color w:val="000000" w:themeColor="text1"/>
        </w:rPr>
      </w:pPr>
    </w:p>
    <w:p w14:paraId="76273A88" w14:textId="52AF911D" w:rsidR="00BC1C0C" w:rsidRPr="00AA6C4E" w:rsidRDefault="00BC1C0C" w:rsidP="00F3111D">
      <w:pPr>
        <w:spacing w:after="0" w:line="360" w:lineRule="auto"/>
        <w:ind w:left="5040" w:firstLine="720"/>
        <w:rPr>
          <w:color w:val="000000" w:themeColor="text1"/>
        </w:rPr>
      </w:pPr>
      <w:bookmarkStart w:id="0" w:name="_GoBack"/>
      <w:bookmarkEnd w:id="0"/>
    </w:p>
    <w:p w14:paraId="000E3330" w14:textId="77777777" w:rsidR="00CF1A09" w:rsidRPr="00AA6C4E" w:rsidRDefault="00CF1A09" w:rsidP="009F10F1">
      <w:pPr>
        <w:spacing w:line="360" w:lineRule="auto"/>
        <w:jc w:val="center"/>
        <w:rPr>
          <w:b/>
          <w:color w:val="000000" w:themeColor="text1"/>
          <w:u w:val="single"/>
        </w:rPr>
      </w:pPr>
    </w:p>
    <w:p w14:paraId="224D70BE" w14:textId="77777777" w:rsidR="00CF1A09" w:rsidRPr="00AA6C4E" w:rsidRDefault="00CF1A09" w:rsidP="009F10F1">
      <w:pPr>
        <w:spacing w:line="360" w:lineRule="auto"/>
        <w:jc w:val="center"/>
        <w:rPr>
          <w:b/>
          <w:color w:val="000000" w:themeColor="text1"/>
          <w:u w:val="single"/>
        </w:rPr>
      </w:pPr>
    </w:p>
    <w:p w14:paraId="3C11AD03" w14:textId="30BD23ED" w:rsidR="007200DA" w:rsidRPr="00AA6C4E" w:rsidRDefault="007200DA" w:rsidP="009F10F1">
      <w:pPr>
        <w:spacing w:after="0" w:line="360" w:lineRule="auto"/>
        <w:ind w:left="1440" w:hanging="720"/>
        <w:jc w:val="center"/>
        <w:rPr>
          <w:b/>
          <w:color w:val="000000" w:themeColor="text1"/>
          <w:u w:val="single"/>
        </w:rPr>
      </w:pPr>
    </w:p>
    <w:p w14:paraId="58A858F4" w14:textId="77777777" w:rsidR="008E5074" w:rsidRPr="00AA6C4E" w:rsidRDefault="008E5074" w:rsidP="009F10F1">
      <w:pPr>
        <w:spacing w:line="360" w:lineRule="auto"/>
        <w:jc w:val="center"/>
        <w:rPr>
          <w:b/>
          <w:color w:val="000000" w:themeColor="text1"/>
          <w:u w:val="single"/>
        </w:rPr>
      </w:pPr>
    </w:p>
    <w:p w14:paraId="6C5D6CE2" w14:textId="77777777" w:rsidR="00C90F82" w:rsidRPr="00AA6C4E" w:rsidRDefault="00C90F82" w:rsidP="009F10F1">
      <w:pPr>
        <w:spacing w:after="0" w:line="360" w:lineRule="auto"/>
        <w:ind w:left="1440" w:hanging="720"/>
        <w:jc w:val="right"/>
        <w:rPr>
          <w:color w:val="000000" w:themeColor="text1"/>
        </w:rPr>
      </w:pPr>
    </w:p>
    <w:sectPr w:rsidR="00C90F82" w:rsidRPr="00AA6C4E" w:rsidSect="000E727E">
      <w:footerReference w:type="default" r:id="rId8"/>
      <w:pgSz w:w="11909" w:h="16834" w:code="9"/>
      <w:pgMar w:top="1296" w:right="1152" w:bottom="2016" w:left="172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DEAF" w14:textId="77777777" w:rsidR="003745C5" w:rsidRDefault="003745C5" w:rsidP="00606FAB">
      <w:pPr>
        <w:spacing w:after="0" w:line="240" w:lineRule="auto"/>
      </w:pPr>
      <w:r>
        <w:separator/>
      </w:r>
    </w:p>
  </w:endnote>
  <w:endnote w:type="continuationSeparator" w:id="0">
    <w:p w14:paraId="73E49111" w14:textId="77777777" w:rsidR="003745C5" w:rsidRDefault="003745C5" w:rsidP="006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75"/>
      <w:gridCol w:w="4069"/>
      <w:gridCol w:w="1640"/>
      <w:gridCol w:w="1935"/>
    </w:tblGrid>
    <w:tr w:rsidR="000E727E" w14:paraId="49607879" w14:textId="77777777" w:rsidTr="000E727E">
      <w:tc>
        <w:tcPr>
          <w:tcW w:w="1413" w:type="dxa"/>
          <w:tcBorders>
            <w:top w:val="single" w:sz="4" w:space="0" w:color="auto"/>
            <w:left w:val="single" w:sz="4" w:space="0" w:color="auto"/>
            <w:bottom w:val="single" w:sz="4" w:space="0" w:color="auto"/>
            <w:right w:val="single" w:sz="4" w:space="0" w:color="auto"/>
          </w:tcBorders>
          <w:hideMark/>
        </w:tcPr>
        <w:p w14:paraId="347BAA60" w14:textId="77777777" w:rsidR="000E727E" w:rsidRPr="00491AD9" w:rsidRDefault="000E727E" w:rsidP="000E727E">
          <w:pPr>
            <w:jc w:val="center"/>
          </w:pPr>
          <w:r w:rsidRPr="00491AD9">
            <w:t>OPI</w:t>
          </w:r>
        </w:p>
      </w:tc>
      <w:tc>
        <w:tcPr>
          <w:tcW w:w="4252" w:type="dxa"/>
          <w:tcBorders>
            <w:top w:val="single" w:sz="4" w:space="0" w:color="auto"/>
            <w:left w:val="single" w:sz="4" w:space="0" w:color="auto"/>
            <w:bottom w:val="single" w:sz="4" w:space="0" w:color="auto"/>
            <w:right w:val="single" w:sz="4" w:space="0" w:color="auto"/>
          </w:tcBorders>
          <w:hideMark/>
        </w:tcPr>
        <w:p w14:paraId="0743F128" w14:textId="77777777" w:rsidR="000E727E" w:rsidRPr="00491AD9" w:rsidRDefault="000E727E" w:rsidP="000E727E">
          <w:pPr>
            <w:jc w:val="center"/>
          </w:pPr>
          <w:r w:rsidRPr="00491AD9">
            <w:t>Date of Applicability / Issue</w:t>
          </w:r>
        </w:p>
      </w:tc>
      <w:tc>
        <w:tcPr>
          <w:tcW w:w="1701" w:type="dxa"/>
          <w:tcBorders>
            <w:top w:val="single" w:sz="4" w:space="0" w:color="auto"/>
            <w:left w:val="single" w:sz="4" w:space="0" w:color="auto"/>
            <w:bottom w:val="single" w:sz="4" w:space="0" w:color="auto"/>
            <w:right w:val="single" w:sz="4" w:space="0" w:color="auto"/>
          </w:tcBorders>
          <w:hideMark/>
        </w:tcPr>
        <w:p w14:paraId="54873B8F" w14:textId="77777777" w:rsidR="000E727E" w:rsidRPr="00491AD9" w:rsidRDefault="000E727E" w:rsidP="000E727E">
          <w:pPr>
            <w:jc w:val="center"/>
          </w:pPr>
          <w:r w:rsidRPr="00491AD9">
            <w:t>Page No</w:t>
          </w:r>
        </w:p>
      </w:tc>
      <w:tc>
        <w:tcPr>
          <w:tcW w:w="1984" w:type="dxa"/>
          <w:tcBorders>
            <w:top w:val="single" w:sz="4" w:space="0" w:color="auto"/>
            <w:left w:val="single" w:sz="4" w:space="0" w:color="auto"/>
            <w:bottom w:val="single" w:sz="4" w:space="0" w:color="auto"/>
            <w:right w:val="single" w:sz="4" w:space="0" w:color="auto"/>
          </w:tcBorders>
          <w:hideMark/>
        </w:tcPr>
        <w:p w14:paraId="6304C758" w14:textId="77777777" w:rsidR="000E727E" w:rsidRPr="00491AD9" w:rsidRDefault="000E727E" w:rsidP="000E727E">
          <w:pPr>
            <w:jc w:val="center"/>
          </w:pPr>
          <w:r w:rsidRPr="00491AD9">
            <w:t>Signature</w:t>
          </w:r>
        </w:p>
      </w:tc>
    </w:tr>
    <w:tr w:rsidR="000E727E" w14:paraId="5BA8E41B" w14:textId="77777777" w:rsidTr="000E727E">
      <w:trPr>
        <w:trHeight w:val="558"/>
      </w:trPr>
      <w:tc>
        <w:tcPr>
          <w:tcW w:w="1413" w:type="dxa"/>
          <w:tcBorders>
            <w:top w:val="single" w:sz="4" w:space="0" w:color="auto"/>
            <w:left w:val="single" w:sz="4" w:space="0" w:color="auto"/>
            <w:bottom w:val="single" w:sz="4" w:space="0" w:color="auto"/>
            <w:right w:val="single" w:sz="4" w:space="0" w:color="auto"/>
          </w:tcBorders>
          <w:vAlign w:val="center"/>
          <w:hideMark/>
        </w:tcPr>
        <w:p w14:paraId="14FA9D51" w14:textId="7BABBF0C" w:rsidR="000E727E" w:rsidRPr="00491AD9" w:rsidRDefault="00491AD9" w:rsidP="000E727E">
          <w:pPr>
            <w:jc w:val="center"/>
          </w:pPr>
          <w:r w:rsidRPr="00491AD9">
            <w:t>A&amp;S</w:t>
          </w:r>
          <w:r w:rsidR="000E727E" w:rsidRPr="00491AD9">
            <w:t xml:space="preserve"> Office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71DA5B" w14:textId="77777777" w:rsidR="000E727E" w:rsidRPr="00491AD9" w:rsidRDefault="000E727E" w:rsidP="000E727E">
          <w:pPr>
            <w:jc w:val="center"/>
          </w:pPr>
          <w:r w:rsidRPr="00491AD9">
            <w:t>14 April 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D2BC29" w14:textId="41D4D3D3" w:rsidR="000E727E" w:rsidRPr="00491AD9" w:rsidRDefault="000E727E" w:rsidP="000E727E">
          <w:pPr>
            <w:jc w:val="center"/>
          </w:pPr>
          <w:r w:rsidRPr="00491AD9">
            <w:fldChar w:fldCharType="begin"/>
          </w:r>
          <w:r w:rsidRPr="00491AD9">
            <w:instrText xml:space="preserve"> PAGE   \* MERGEFORMAT </w:instrText>
          </w:r>
          <w:r w:rsidRPr="00491AD9">
            <w:fldChar w:fldCharType="separate"/>
          </w:r>
          <w:r w:rsidR="00B05260">
            <w:rPr>
              <w:noProof/>
            </w:rPr>
            <w:t>1</w:t>
          </w:r>
          <w:r w:rsidRPr="00491AD9">
            <w:rPr>
              <w:noProof/>
            </w:rPr>
            <w:fldChar w:fldCharType="end"/>
          </w:r>
          <w:r w:rsidRPr="00491AD9">
            <w:t xml:space="preserve"> of </w:t>
          </w:r>
          <w:r w:rsidR="00654FD4">
            <w:t>1</w:t>
          </w:r>
        </w:p>
      </w:tc>
      <w:tc>
        <w:tcPr>
          <w:tcW w:w="1984" w:type="dxa"/>
          <w:tcBorders>
            <w:top w:val="single" w:sz="4" w:space="0" w:color="auto"/>
            <w:left w:val="single" w:sz="4" w:space="0" w:color="auto"/>
            <w:bottom w:val="single" w:sz="4" w:space="0" w:color="auto"/>
            <w:right w:val="single" w:sz="4" w:space="0" w:color="auto"/>
          </w:tcBorders>
          <w:vAlign w:val="center"/>
        </w:tcPr>
        <w:p w14:paraId="06894857" w14:textId="77777777" w:rsidR="000E727E" w:rsidRPr="00491AD9" w:rsidRDefault="000E727E" w:rsidP="000E727E">
          <w:pPr>
            <w:jc w:val="center"/>
          </w:pPr>
        </w:p>
      </w:tc>
    </w:tr>
  </w:tbl>
  <w:p w14:paraId="555AAD22" w14:textId="3582512F" w:rsidR="00606FAB" w:rsidRPr="00606FAB" w:rsidRDefault="00606FAB">
    <w:pPr>
      <w:pStyle w:val="Footer"/>
      <w:jc w:val="center"/>
    </w:pPr>
  </w:p>
  <w:p w14:paraId="6E274D9C" w14:textId="77777777" w:rsidR="00606FAB" w:rsidRDefault="0060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18E5" w14:textId="77777777" w:rsidR="003745C5" w:rsidRDefault="003745C5" w:rsidP="00606FAB">
      <w:pPr>
        <w:spacing w:after="0" w:line="240" w:lineRule="auto"/>
      </w:pPr>
      <w:r>
        <w:separator/>
      </w:r>
    </w:p>
  </w:footnote>
  <w:footnote w:type="continuationSeparator" w:id="0">
    <w:p w14:paraId="18A07042" w14:textId="77777777" w:rsidR="003745C5" w:rsidRDefault="003745C5" w:rsidP="0060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A25"/>
    <w:multiLevelType w:val="hybridMultilevel"/>
    <w:tmpl w:val="514432B4"/>
    <w:lvl w:ilvl="0" w:tplc="ABFEDF7C">
      <w:start w:val="1"/>
      <w:numFmt w:val="lowerLetter"/>
      <w:lvlText w:val="(%1)"/>
      <w:lvlJc w:val="left"/>
      <w:pPr>
        <w:tabs>
          <w:tab w:val="num" w:pos="1440"/>
        </w:tabs>
        <w:ind w:left="720" w:firstLine="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2737B"/>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AF34C7"/>
    <w:multiLevelType w:val="hybridMultilevel"/>
    <w:tmpl w:val="16365584"/>
    <w:lvl w:ilvl="0" w:tplc="FC2CE3E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421F"/>
    <w:multiLevelType w:val="hybridMultilevel"/>
    <w:tmpl w:val="B668533A"/>
    <w:lvl w:ilvl="0" w:tplc="A8401812">
      <w:start w:val="1"/>
      <w:numFmt w:val="lowerLetter"/>
      <w:lvlText w:val="(%1)"/>
      <w:lvlJc w:val="left"/>
      <w:pPr>
        <w:tabs>
          <w:tab w:val="num" w:pos="1800"/>
        </w:tabs>
        <w:ind w:left="1080" w:firstLine="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77790D"/>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2D863F5"/>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7D648D"/>
    <w:multiLevelType w:val="hybridMultilevel"/>
    <w:tmpl w:val="98B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D38BE"/>
    <w:multiLevelType w:val="hybridMultilevel"/>
    <w:tmpl w:val="B668533A"/>
    <w:lvl w:ilvl="0" w:tplc="FFFFFFFF">
      <w:start w:val="1"/>
      <w:numFmt w:val="lowerLetter"/>
      <w:lvlText w:val="(%1)"/>
      <w:lvlJc w:val="left"/>
      <w:pPr>
        <w:tabs>
          <w:tab w:val="num" w:pos="1440"/>
        </w:tabs>
        <w:ind w:left="720" w:firstLine="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E97997"/>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FA42783"/>
    <w:multiLevelType w:val="hybridMultilevel"/>
    <w:tmpl w:val="B978AFC0"/>
    <w:lvl w:ilvl="0" w:tplc="1B307B7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B8032B"/>
    <w:multiLevelType w:val="multilevel"/>
    <w:tmpl w:val="84042B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94DF0"/>
    <w:multiLevelType w:val="hybridMultilevel"/>
    <w:tmpl w:val="71820C40"/>
    <w:lvl w:ilvl="0" w:tplc="40D491FC">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C455F"/>
    <w:multiLevelType w:val="hybridMultilevel"/>
    <w:tmpl w:val="A26442B4"/>
    <w:lvl w:ilvl="0" w:tplc="5D0C1562">
      <w:start w:val="1"/>
      <w:numFmt w:val="decimal"/>
      <w:lvlText w:val="%1."/>
      <w:lvlJc w:val="left"/>
      <w:pPr>
        <w:tabs>
          <w:tab w:val="num" w:pos="720"/>
        </w:tabs>
        <w:ind w:left="0" w:firstLine="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500E1"/>
    <w:multiLevelType w:val="hybridMultilevel"/>
    <w:tmpl w:val="72860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75660"/>
    <w:multiLevelType w:val="hybridMultilevel"/>
    <w:tmpl w:val="3F4E1D0E"/>
    <w:lvl w:ilvl="0" w:tplc="E596536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27779"/>
    <w:multiLevelType w:val="hybridMultilevel"/>
    <w:tmpl w:val="499899D6"/>
    <w:lvl w:ilvl="0" w:tplc="F816FCF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24618"/>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55193E"/>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79568C"/>
    <w:multiLevelType w:val="hybridMultilevel"/>
    <w:tmpl w:val="5FF478F4"/>
    <w:lvl w:ilvl="0" w:tplc="EBA4B6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F4900CD"/>
    <w:multiLevelType w:val="multilevel"/>
    <w:tmpl w:val="D81A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9A1711"/>
    <w:multiLevelType w:val="hybridMultilevel"/>
    <w:tmpl w:val="E9C0155C"/>
    <w:lvl w:ilvl="0" w:tplc="C916EB5E">
      <w:start w:val="1"/>
      <w:numFmt w:val="lowerLetter"/>
      <w:lvlText w:val="%1."/>
      <w:lvlJc w:val="left"/>
      <w:pPr>
        <w:ind w:left="1800" w:hanging="360"/>
      </w:pPr>
      <w:rPr>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8D9772F"/>
    <w:multiLevelType w:val="hybridMultilevel"/>
    <w:tmpl w:val="36085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16B3F"/>
    <w:multiLevelType w:val="hybridMultilevel"/>
    <w:tmpl w:val="23422164"/>
    <w:lvl w:ilvl="0" w:tplc="7E68D36C">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3C6914"/>
    <w:multiLevelType w:val="hybridMultilevel"/>
    <w:tmpl w:val="CF163BB6"/>
    <w:lvl w:ilvl="0" w:tplc="24EE29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B21EE"/>
    <w:multiLevelType w:val="hybridMultilevel"/>
    <w:tmpl w:val="C56C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13"/>
  </w:num>
  <w:num w:numId="4">
    <w:abstractNumId w:val="18"/>
  </w:num>
  <w:num w:numId="5">
    <w:abstractNumId w:val="14"/>
  </w:num>
  <w:num w:numId="6">
    <w:abstractNumId w:val="20"/>
  </w:num>
  <w:num w:numId="7">
    <w:abstractNumId w:val="21"/>
  </w:num>
  <w:num w:numId="8">
    <w:abstractNumId w:val="6"/>
  </w:num>
  <w:num w:numId="9">
    <w:abstractNumId w:val="9"/>
  </w:num>
  <w:num w:numId="10">
    <w:abstractNumId w:val="3"/>
  </w:num>
  <w:num w:numId="11">
    <w:abstractNumId w:val="22"/>
  </w:num>
  <w:num w:numId="12">
    <w:abstractNumId w:val="7"/>
  </w:num>
  <w:num w:numId="13">
    <w:abstractNumId w:val="16"/>
  </w:num>
  <w:num w:numId="14">
    <w:abstractNumId w:val="12"/>
  </w:num>
  <w:num w:numId="15">
    <w:abstractNumId w:val="0"/>
  </w:num>
  <w:num w:numId="16">
    <w:abstractNumId w:val="2"/>
  </w:num>
  <w:num w:numId="17">
    <w:abstractNumId w:val="15"/>
  </w:num>
  <w:num w:numId="18">
    <w:abstractNumId w:val="17"/>
  </w:num>
  <w:num w:numId="19">
    <w:abstractNumId w:val="8"/>
  </w:num>
  <w:num w:numId="20">
    <w:abstractNumId w:val="1"/>
  </w:num>
  <w:num w:numId="21">
    <w:abstractNumId w:val="4"/>
  </w:num>
  <w:num w:numId="22">
    <w:abstractNumId w:val="5"/>
  </w:num>
  <w:num w:numId="23">
    <w:abstractNumId w:val="24"/>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0250A"/>
    <w:rsid w:val="00031333"/>
    <w:rsid w:val="00063245"/>
    <w:rsid w:val="00066F29"/>
    <w:rsid w:val="0007703A"/>
    <w:rsid w:val="00083F66"/>
    <w:rsid w:val="00097548"/>
    <w:rsid w:val="000A3280"/>
    <w:rsid w:val="000A502D"/>
    <w:rsid w:val="000C1071"/>
    <w:rsid w:val="000C61FE"/>
    <w:rsid w:val="000D0B94"/>
    <w:rsid w:val="000E27D9"/>
    <w:rsid w:val="000E727E"/>
    <w:rsid w:val="000F09EA"/>
    <w:rsid w:val="000F1F6D"/>
    <w:rsid w:val="000F4D3C"/>
    <w:rsid w:val="00141BA0"/>
    <w:rsid w:val="00144C6C"/>
    <w:rsid w:val="00145B71"/>
    <w:rsid w:val="00157D55"/>
    <w:rsid w:val="001713C0"/>
    <w:rsid w:val="00175A77"/>
    <w:rsid w:val="00187273"/>
    <w:rsid w:val="00187831"/>
    <w:rsid w:val="001A4492"/>
    <w:rsid w:val="001B4580"/>
    <w:rsid w:val="001C5D18"/>
    <w:rsid w:val="001C775C"/>
    <w:rsid w:val="001D0BD1"/>
    <w:rsid w:val="001D3E6F"/>
    <w:rsid w:val="001D79D0"/>
    <w:rsid w:val="001D7E8E"/>
    <w:rsid w:val="001F091F"/>
    <w:rsid w:val="001F2DC5"/>
    <w:rsid w:val="00203216"/>
    <w:rsid w:val="002077E3"/>
    <w:rsid w:val="002433C1"/>
    <w:rsid w:val="00244174"/>
    <w:rsid w:val="00256460"/>
    <w:rsid w:val="00271055"/>
    <w:rsid w:val="00281468"/>
    <w:rsid w:val="00291F44"/>
    <w:rsid w:val="002B6B47"/>
    <w:rsid w:val="002C2387"/>
    <w:rsid w:val="002D6F1E"/>
    <w:rsid w:val="002F2645"/>
    <w:rsid w:val="00314C0D"/>
    <w:rsid w:val="003274BA"/>
    <w:rsid w:val="00332E1D"/>
    <w:rsid w:val="00342164"/>
    <w:rsid w:val="00347AEA"/>
    <w:rsid w:val="003550B0"/>
    <w:rsid w:val="003609C6"/>
    <w:rsid w:val="00367B95"/>
    <w:rsid w:val="003745C5"/>
    <w:rsid w:val="00376660"/>
    <w:rsid w:val="00377943"/>
    <w:rsid w:val="0038658B"/>
    <w:rsid w:val="003971FD"/>
    <w:rsid w:val="003A4763"/>
    <w:rsid w:val="003B0406"/>
    <w:rsid w:val="003B1FB9"/>
    <w:rsid w:val="003C2FB0"/>
    <w:rsid w:val="003F5F19"/>
    <w:rsid w:val="0040180B"/>
    <w:rsid w:val="00402BED"/>
    <w:rsid w:val="00411D81"/>
    <w:rsid w:val="00411D95"/>
    <w:rsid w:val="0041685C"/>
    <w:rsid w:val="00421FCE"/>
    <w:rsid w:val="00421FF7"/>
    <w:rsid w:val="004246F3"/>
    <w:rsid w:val="00452FE0"/>
    <w:rsid w:val="00453EDE"/>
    <w:rsid w:val="004620C4"/>
    <w:rsid w:val="00472B8F"/>
    <w:rsid w:val="00480306"/>
    <w:rsid w:val="00484996"/>
    <w:rsid w:val="00491AD9"/>
    <w:rsid w:val="00496812"/>
    <w:rsid w:val="004C096B"/>
    <w:rsid w:val="004C3A81"/>
    <w:rsid w:val="004C4CFD"/>
    <w:rsid w:val="004D1050"/>
    <w:rsid w:val="004D2C6F"/>
    <w:rsid w:val="00507E39"/>
    <w:rsid w:val="005115A5"/>
    <w:rsid w:val="0051537A"/>
    <w:rsid w:val="0052125A"/>
    <w:rsid w:val="00522D80"/>
    <w:rsid w:val="005410B6"/>
    <w:rsid w:val="005517EB"/>
    <w:rsid w:val="005710D9"/>
    <w:rsid w:val="00585D9E"/>
    <w:rsid w:val="005A24C8"/>
    <w:rsid w:val="005C2ABC"/>
    <w:rsid w:val="005C3440"/>
    <w:rsid w:val="005D72CD"/>
    <w:rsid w:val="005F796E"/>
    <w:rsid w:val="006003AD"/>
    <w:rsid w:val="00600F52"/>
    <w:rsid w:val="00605FAF"/>
    <w:rsid w:val="00606FAB"/>
    <w:rsid w:val="006245E0"/>
    <w:rsid w:val="00654FD4"/>
    <w:rsid w:val="00657161"/>
    <w:rsid w:val="00660D9F"/>
    <w:rsid w:val="00665E04"/>
    <w:rsid w:val="00675937"/>
    <w:rsid w:val="00677027"/>
    <w:rsid w:val="00682345"/>
    <w:rsid w:val="00686EDD"/>
    <w:rsid w:val="00691C49"/>
    <w:rsid w:val="00694EAE"/>
    <w:rsid w:val="006A4430"/>
    <w:rsid w:val="006A6712"/>
    <w:rsid w:val="006B259D"/>
    <w:rsid w:val="006C4C01"/>
    <w:rsid w:val="006D14B2"/>
    <w:rsid w:val="006D2478"/>
    <w:rsid w:val="006F294E"/>
    <w:rsid w:val="007200DA"/>
    <w:rsid w:val="0072081F"/>
    <w:rsid w:val="00733ACC"/>
    <w:rsid w:val="007426F6"/>
    <w:rsid w:val="007542FC"/>
    <w:rsid w:val="00754471"/>
    <w:rsid w:val="007620F3"/>
    <w:rsid w:val="0076497E"/>
    <w:rsid w:val="00773014"/>
    <w:rsid w:val="00775FC4"/>
    <w:rsid w:val="0079043A"/>
    <w:rsid w:val="0079619D"/>
    <w:rsid w:val="007A1145"/>
    <w:rsid w:val="007A614B"/>
    <w:rsid w:val="007B56DC"/>
    <w:rsid w:val="007F1594"/>
    <w:rsid w:val="007F3668"/>
    <w:rsid w:val="00810AF5"/>
    <w:rsid w:val="00824E5F"/>
    <w:rsid w:val="008263A3"/>
    <w:rsid w:val="0083366C"/>
    <w:rsid w:val="00841129"/>
    <w:rsid w:val="00844C1C"/>
    <w:rsid w:val="00845973"/>
    <w:rsid w:val="00851365"/>
    <w:rsid w:val="00852A76"/>
    <w:rsid w:val="00854962"/>
    <w:rsid w:val="00866490"/>
    <w:rsid w:val="00872505"/>
    <w:rsid w:val="00872AB0"/>
    <w:rsid w:val="00880C8E"/>
    <w:rsid w:val="0088244E"/>
    <w:rsid w:val="008837AB"/>
    <w:rsid w:val="0089060A"/>
    <w:rsid w:val="0089071A"/>
    <w:rsid w:val="008A0E72"/>
    <w:rsid w:val="008C085C"/>
    <w:rsid w:val="008C33B6"/>
    <w:rsid w:val="008C457D"/>
    <w:rsid w:val="008D7E53"/>
    <w:rsid w:val="008E5074"/>
    <w:rsid w:val="009035C9"/>
    <w:rsid w:val="00914E12"/>
    <w:rsid w:val="00920C2C"/>
    <w:rsid w:val="00931941"/>
    <w:rsid w:val="00943E36"/>
    <w:rsid w:val="00976B41"/>
    <w:rsid w:val="0099008D"/>
    <w:rsid w:val="0099110B"/>
    <w:rsid w:val="00993E4D"/>
    <w:rsid w:val="00994398"/>
    <w:rsid w:val="009A2C02"/>
    <w:rsid w:val="009A5938"/>
    <w:rsid w:val="009C0312"/>
    <w:rsid w:val="009D082E"/>
    <w:rsid w:val="009E6ADF"/>
    <w:rsid w:val="009F10F1"/>
    <w:rsid w:val="00A14415"/>
    <w:rsid w:val="00A25B4B"/>
    <w:rsid w:val="00A544BA"/>
    <w:rsid w:val="00A6583C"/>
    <w:rsid w:val="00A65D34"/>
    <w:rsid w:val="00A6677F"/>
    <w:rsid w:val="00A92387"/>
    <w:rsid w:val="00A9580D"/>
    <w:rsid w:val="00AA26D8"/>
    <w:rsid w:val="00AA6C4E"/>
    <w:rsid w:val="00AB0391"/>
    <w:rsid w:val="00AC3891"/>
    <w:rsid w:val="00AD2798"/>
    <w:rsid w:val="00B02438"/>
    <w:rsid w:val="00B02956"/>
    <w:rsid w:val="00B038FF"/>
    <w:rsid w:val="00B05260"/>
    <w:rsid w:val="00B13356"/>
    <w:rsid w:val="00B3562C"/>
    <w:rsid w:val="00B44A5F"/>
    <w:rsid w:val="00B521CB"/>
    <w:rsid w:val="00B67799"/>
    <w:rsid w:val="00B73E54"/>
    <w:rsid w:val="00B80AE9"/>
    <w:rsid w:val="00BA3007"/>
    <w:rsid w:val="00BA7382"/>
    <w:rsid w:val="00BB4C14"/>
    <w:rsid w:val="00BC1C0C"/>
    <w:rsid w:val="00BC2921"/>
    <w:rsid w:val="00BC4BDD"/>
    <w:rsid w:val="00BD3316"/>
    <w:rsid w:val="00BD7A4F"/>
    <w:rsid w:val="00BF6C49"/>
    <w:rsid w:val="00C05821"/>
    <w:rsid w:val="00C11437"/>
    <w:rsid w:val="00C11653"/>
    <w:rsid w:val="00C12F6B"/>
    <w:rsid w:val="00C21AD6"/>
    <w:rsid w:val="00C37FCB"/>
    <w:rsid w:val="00C47E7A"/>
    <w:rsid w:val="00C51776"/>
    <w:rsid w:val="00C639BB"/>
    <w:rsid w:val="00C81A98"/>
    <w:rsid w:val="00C86DAC"/>
    <w:rsid w:val="00C90F82"/>
    <w:rsid w:val="00C96549"/>
    <w:rsid w:val="00CB2462"/>
    <w:rsid w:val="00CC04E6"/>
    <w:rsid w:val="00CC0F82"/>
    <w:rsid w:val="00CC391D"/>
    <w:rsid w:val="00CF1A09"/>
    <w:rsid w:val="00D070D1"/>
    <w:rsid w:val="00D10034"/>
    <w:rsid w:val="00D2131E"/>
    <w:rsid w:val="00D338C1"/>
    <w:rsid w:val="00D51623"/>
    <w:rsid w:val="00D55CF6"/>
    <w:rsid w:val="00D7569B"/>
    <w:rsid w:val="00D81266"/>
    <w:rsid w:val="00D84EE2"/>
    <w:rsid w:val="00D86416"/>
    <w:rsid w:val="00DA1309"/>
    <w:rsid w:val="00DA1AEF"/>
    <w:rsid w:val="00DA7D35"/>
    <w:rsid w:val="00DB2066"/>
    <w:rsid w:val="00DB533E"/>
    <w:rsid w:val="00DC1639"/>
    <w:rsid w:val="00DF08B6"/>
    <w:rsid w:val="00E12DA0"/>
    <w:rsid w:val="00E15051"/>
    <w:rsid w:val="00E22B94"/>
    <w:rsid w:val="00E33E0F"/>
    <w:rsid w:val="00E41419"/>
    <w:rsid w:val="00E42654"/>
    <w:rsid w:val="00E47655"/>
    <w:rsid w:val="00E50631"/>
    <w:rsid w:val="00E55547"/>
    <w:rsid w:val="00E65357"/>
    <w:rsid w:val="00E66135"/>
    <w:rsid w:val="00E72D59"/>
    <w:rsid w:val="00E741D6"/>
    <w:rsid w:val="00E91CCB"/>
    <w:rsid w:val="00E92976"/>
    <w:rsid w:val="00E97871"/>
    <w:rsid w:val="00E97B66"/>
    <w:rsid w:val="00EA0902"/>
    <w:rsid w:val="00EA09E0"/>
    <w:rsid w:val="00EA0FE1"/>
    <w:rsid w:val="00EA3C1E"/>
    <w:rsid w:val="00EC2FDE"/>
    <w:rsid w:val="00EE3411"/>
    <w:rsid w:val="00EE3B51"/>
    <w:rsid w:val="00EF0E81"/>
    <w:rsid w:val="00F1710E"/>
    <w:rsid w:val="00F17A55"/>
    <w:rsid w:val="00F23566"/>
    <w:rsid w:val="00F25573"/>
    <w:rsid w:val="00F25D03"/>
    <w:rsid w:val="00F3111D"/>
    <w:rsid w:val="00F323FB"/>
    <w:rsid w:val="00F336F6"/>
    <w:rsid w:val="00F339B3"/>
    <w:rsid w:val="00F34B22"/>
    <w:rsid w:val="00F34CB1"/>
    <w:rsid w:val="00F357BA"/>
    <w:rsid w:val="00F42633"/>
    <w:rsid w:val="00F45BBF"/>
    <w:rsid w:val="00F50D19"/>
    <w:rsid w:val="00F61CC5"/>
    <w:rsid w:val="00F641DD"/>
    <w:rsid w:val="00F772F2"/>
    <w:rsid w:val="00F90BE8"/>
    <w:rsid w:val="00F91763"/>
    <w:rsid w:val="00FA1042"/>
    <w:rsid w:val="00FA666F"/>
    <w:rsid w:val="00FB39EA"/>
    <w:rsid w:val="00FB5750"/>
    <w:rsid w:val="00FC7AD6"/>
    <w:rsid w:val="00FD04B4"/>
    <w:rsid w:val="00FD2B53"/>
    <w:rsid w:val="00FD3C1B"/>
    <w:rsid w:val="00FE3386"/>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513E"/>
  <w15:docId w15:val="{CD1070F5-8CC4-47AF-84DB-FAEC4EDB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68"/>
    <w:pPr>
      <w:spacing w:after="200" w:line="276" w:lineRule="auto"/>
      <w:ind w:left="720"/>
      <w:contextualSpacing/>
    </w:pPr>
  </w:style>
  <w:style w:type="table" w:styleId="TableGrid">
    <w:name w:val="Table Grid"/>
    <w:basedOn w:val="TableNormal"/>
    <w:uiPriority w:val="59"/>
    <w:rsid w:val="00E9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0F"/>
    <w:rPr>
      <w:rFonts w:ascii="Tahoma" w:hAnsi="Tahoma" w:cs="Tahoma"/>
      <w:sz w:val="16"/>
      <w:szCs w:val="16"/>
    </w:rPr>
  </w:style>
  <w:style w:type="character" w:styleId="Hyperlink">
    <w:name w:val="Hyperlink"/>
    <w:basedOn w:val="DefaultParagraphFont"/>
    <w:uiPriority w:val="99"/>
    <w:unhideWhenUsed/>
    <w:rsid w:val="00E33E0F"/>
    <w:rPr>
      <w:color w:val="0563C1" w:themeColor="hyperlink"/>
      <w:u w:val="single"/>
    </w:rPr>
  </w:style>
  <w:style w:type="character" w:styleId="CommentReference">
    <w:name w:val="annotation reference"/>
    <w:basedOn w:val="DefaultParagraphFont"/>
    <w:uiPriority w:val="99"/>
    <w:semiHidden/>
    <w:unhideWhenUsed/>
    <w:rsid w:val="00157D55"/>
    <w:rPr>
      <w:sz w:val="16"/>
      <w:szCs w:val="16"/>
    </w:rPr>
  </w:style>
  <w:style w:type="paragraph" w:styleId="CommentText">
    <w:name w:val="annotation text"/>
    <w:basedOn w:val="Normal"/>
    <w:link w:val="CommentTextChar"/>
    <w:uiPriority w:val="99"/>
    <w:semiHidden/>
    <w:unhideWhenUsed/>
    <w:rsid w:val="00157D55"/>
    <w:pPr>
      <w:spacing w:line="240" w:lineRule="auto"/>
    </w:pPr>
    <w:rPr>
      <w:sz w:val="20"/>
      <w:szCs w:val="20"/>
    </w:rPr>
  </w:style>
  <w:style w:type="character" w:customStyle="1" w:styleId="CommentTextChar">
    <w:name w:val="Comment Text Char"/>
    <w:basedOn w:val="DefaultParagraphFont"/>
    <w:link w:val="CommentText"/>
    <w:uiPriority w:val="99"/>
    <w:semiHidden/>
    <w:rsid w:val="00157D55"/>
    <w:rPr>
      <w:sz w:val="20"/>
      <w:szCs w:val="20"/>
    </w:rPr>
  </w:style>
  <w:style w:type="paragraph" w:styleId="CommentSubject">
    <w:name w:val="annotation subject"/>
    <w:basedOn w:val="CommentText"/>
    <w:next w:val="CommentText"/>
    <w:link w:val="CommentSubjectChar"/>
    <w:uiPriority w:val="99"/>
    <w:semiHidden/>
    <w:unhideWhenUsed/>
    <w:rsid w:val="00157D55"/>
    <w:rPr>
      <w:b/>
      <w:bCs/>
    </w:rPr>
  </w:style>
  <w:style w:type="character" w:customStyle="1" w:styleId="CommentSubjectChar">
    <w:name w:val="Comment Subject Char"/>
    <w:basedOn w:val="CommentTextChar"/>
    <w:link w:val="CommentSubject"/>
    <w:uiPriority w:val="99"/>
    <w:semiHidden/>
    <w:rsid w:val="00157D55"/>
    <w:rPr>
      <w:b/>
      <w:bCs/>
      <w:sz w:val="20"/>
      <w:szCs w:val="20"/>
    </w:rPr>
  </w:style>
  <w:style w:type="paragraph" w:styleId="Header">
    <w:name w:val="header"/>
    <w:basedOn w:val="Normal"/>
    <w:link w:val="HeaderChar"/>
    <w:uiPriority w:val="99"/>
    <w:unhideWhenUsed/>
    <w:rsid w:val="0060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AB"/>
  </w:style>
  <w:style w:type="paragraph" w:styleId="Footer">
    <w:name w:val="footer"/>
    <w:basedOn w:val="Normal"/>
    <w:link w:val="FooterChar"/>
    <w:uiPriority w:val="99"/>
    <w:unhideWhenUsed/>
    <w:rsid w:val="0060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AB"/>
  </w:style>
  <w:style w:type="table" w:customStyle="1" w:styleId="TableGrid1">
    <w:name w:val="Table Grid1"/>
    <w:basedOn w:val="TableNormal"/>
    <w:next w:val="TableGrid"/>
    <w:uiPriority w:val="59"/>
    <w:rsid w:val="00507E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6977">
      <w:bodyDiv w:val="1"/>
      <w:marLeft w:val="0"/>
      <w:marRight w:val="0"/>
      <w:marTop w:val="0"/>
      <w:marBottom w:val="0"/>
      <w:divBdr>
        <w:top w:val="none" w:sz="0" w:space="0" w:color="auto"/>
        <w:left w:val="none" w:sz="0" w:space="0" w:color="auto"/>
        <w:bottom w:val="none" w:sz="0" w:space="0" w:color="auto"/>
        <w:right w:val="none" w:sz="0" w:space="0" w:color="auto"/>
      </w:divBdr>
    </w:div>
    <w:div w:id="16884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52EE-AF4F-479C-B95B-CDA81B47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cp:lastPrinted>2022-04-20T08:38:00Z</cp:lastPrinted>
  <dcterms:created xsi:type="dcterms:W3CDTF">2022-11-07T07:51:00Z</dcterms:created>
  <dcterms:modified xsi:type="dcterms:W3CDTF">2022-11-07T07:51:00Z</dcterms:modified>
</cp:coreProperties>
</file>